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65921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251AC15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14:paraId="65483CF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МОБУ “Новосергиевская средняя общеобразовательная школа №4»</w:t>
      </w:r>
    </w:p>
    <w:p w14:paraId="0378129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921E8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0DAD198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УТВЕРЖДАЮ</w:t>
      </w:r>
    </w:p>
    <w:p w14:paraId="248B9E35">
      <w:pPr>
        <w:spacing w:after="0" w:line="240" w:lineRule="auto"/>
        <w:ind w:left="5520" w:hanging="5520" w:hangingChars="230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Директор____________И.П.Муравьева</w:t>
      </w:r>
    </w:p>
    <w:p w14:paraId="25637B8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«__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__»__августа202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</w:t>
      </w:r>
    </w:p>
    <w:p w14:paraId="6EA75C2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786A37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EB4F98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ПРИНЯТО</w:t>
      </w:r>
    </w:p>
    <w:p w14:paraId="50533AC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на заседании Педагогического совета                                                                                                                </w:t>
      </w:r>
    </w:p>
    <w:p w14:paraId="62C2BF2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«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» _августа 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  протокол № 1                                                                                                             </w:t>
      </w:r>
    </w:p>
    <w:p w14:paraId="0672616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4D8A7C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83610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EB466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18DEA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97249B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2"/>
        <w:gridCol w:w="222"/>
      </w:tblGrid>
      <w:tr w14:paraId="049C13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DF05"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88E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B1182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BFE8D5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10255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9966F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FD6C1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64492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B32D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DB05FB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47CD5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007F0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ru-RU"/>
        </w:rPr>
        <w:t>ПЛАН ВНЕУРОЧНОЙ ДЕЯТЕЛЬНОСТИ НОО  </w:t>
      </w:r>
    </w:p>
    <w:p w14:paraId="01F53E8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ru-RU"/>
        </w:rPr>
        <w:t>МОБУ “Новосергиевская СОШ №4” </w:t>
      </w:r>
    </w:p>
    <w:p w14:paraId="457FAFE7">
      <w:pPr>
        <w:spacing w:after="0" w:line="240" w:lineRule="auto"/>
        <w:jc w:val="center"/>
        <w:rPr>
          <w:rFonts w:ascii="Times New Roman" w:hAnsi="Times New Roman" w:eastAsia="Times New Roman" w:cs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6"/>
          <w:szCs w:val="36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6"/>
          <w:szCs w:val="36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3FE86BE6">
      <w:pPr>
        <w:rPr>
          <w:rFonts w:ascii="Times New Roman" w:hAnsi="Times New Roman" w:cs="Times New Roman"/>
          <w:sz w:val="24"/>
          <w:szCs w:val="24"/>
        </w:rPr>
      </w:pPr>
    </w:p>
    <w:p w14:paraId="75EAB8B8">
      <w:pPr>
        <w:rPr>
          <w:rFonts w:ascii="Times New Roman" w:hAnsi="Times New Roman" w:cs="Times New Roman"/>
          <w:sz w:val="24"/>
          <w:szCs w:val="24"/>
        </w:rPr>
      </w:pPr>
    </w:p>
    <w:p w14:paraId="038260F4">
      <w:pPr>
        <w:rPr>
          <w:rFonts w:ascii="Times New Roman" w:hAnsi="Times New Roman" w:cs="Times New Roman"/>
          <w:sz w:val="24"/>
          <w:szCs w:val="24"/>
        </w:rPr>
      </w:pPr>
    </w:p>
    <w:p w14:paraId="0A419F28">
      <w:pPr>
        <w:rPr>
          <w:rFonts w:ascii="Times New Roman" w:hAnsi="Times New Roman" w:cs="Times New Roman"/>
          <w:sz w:val="24"/>
          <w:szCs w:val="24"/>
        </w:rPr>
      </w:pPr>
    </w:p>
    <w:p w14:paraId="4BD0E98B">
      <w:pPr>
        <w:rPr>
          <w:rFonts w:ascii="Times New Roman" w:hAnsi="Times New Roman" w:cs="Times New Roman"/>
          <w:sz w:val="24"/>
          <w:szCs w:val="24"/>
        </w:rPr>
      </w:pPr>
    </w:p>
    <w:p w14:paraId="0F01EA60">
      <w:pPr>
        <w:rPr>
          <w:rFonts w:ascii="Times New Roman" w:hAnsi="Times New Roman" w:cs="Times New Roman"/>
          <w:sz w:val="24"/>
          <w:szCs w:val="24"/>
        </w:rPr>
      </w:pPr>
    </w:p>
    <w:p w14:paraId="090E9754">
      <w:pPr>
        <w:rPr>
          <w:rFonts w:ascii="Times New Roman" w:hAnsi="Times New Roman" w:cs="Times New Roman"/>
          <w:sz w:val="24"/>
          <w:szCs w:val="24"/>
        </w:rPr>
      </w:pPr>
    </w:p>
    <w:p w14:paraId="4F5BAAB5">
      <w:pPr>
        <w:rPr>
          <w:rFonts w:ascii="Times New Roman" w:hAnsi="Times New Roman" w:cs="Times New Roman"/>
          <w:sz w:val="24"/>
          <w:szCs w:val="24"/>
        </w:rPr>
      </w:pPr>
    </w:p>
    <w:p w14:paraId="15755FB5">
      <w:pPr>
        <w:rPr>
          <w:rFonts w:ascii="Times New Roman" w:hAnsi="Times New Roman" w:cs="Times New Roman"/>
          <w:sz w:val="24"/>
          <w:szCs w:val="24"/>
        </w:rPr>
      </w:pPr>
    </w:p>
    <w:p w14:paraId="61262C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                              Пояснительная  записка </w:t>
      </w:r>
    </w:p>
    <w:p w14:paraId="60D02D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</w:p>
    <w:p w14:paraId="6242C81A">
      <w:pPr>
        <w:spacing w:line="240" w:lineRule="auto"/>
        <w:ind w:firstLine="284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14:paraId="1F97BDE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организаций;</w:t>
      </w:r>
    </w:p>
    <w:p w14:paraId="62A7CDD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средней школы);</w:t>
      </w:r>
    </w:p>
    <w:p w14:paraId="7FDDAF2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план воспитательных мероприятий.</w:t>
      </w:r>
    </w:p>
    <w:p w14:paraId="6AE2F1D1">
      <w:pPr>
        <w:suppressAutoHyphens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Согласно ФГОС НОО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14:paraId="31B02776">
      <w:pPr>
        <w:suppressAutoHyphens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746CB7F2">
      <w:pPr>
        <w:suppressAutoHyphens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 Нормативная база разработки учебного плана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 </w:t>
      </w:r>
    </w:p>
    <w:p w14:paraId="74DE4B1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ри разработке плана использовались следующие документы:</w:t>
      </w:r>
    </w:p>
    <w:p w14:paraId="327E1BD5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  Федеральный закон от 25.12.2012г. №273-ФЗ «Об образовании РФ»;</w:t>
      </w:r>
    </w:p>
    <w:p w14:paraId="1B989558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обучающихся. </w:t>
      </w:r>
    </w:p>
    <w:p w14:paraId="1B3276EE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- Примерная основная образовательная программа основного общего образования (о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eastAsia="ru-RU"/>
        </w:rPr>
        <w:t>добрена решением федерального учебно-методического объединения по общему образованию, протокол от 18 марта 2022 г. № 1/22)</w:t>
      </w:r>
    </w:p>
    <w:p w14:paraId="0DF9A6EF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- Приказ Минпросвещения России от 31.05.2021 No 286 «Об утверждении федерального государственного образовательного стандарта начального общего образования». </w:t>
      </w:r>
    </w:p>
    <w:p w14:paraId="1BEFDF22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- Приказ Минпросвещения России от 31.05.2021 No 287 «Об утверждении федерального государственного образовательного стандарта основного общего образования».</w:t>
      </w:r>
    </w:p>
    <w:p w14:paraId="2877058E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- Постановление Главного государственного санитарного врача РФ от 28.09.2020 No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 </w:t>
      </w:r>
    </w:p>
    <w:p w14:paraId="7E9EDDA8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- Письмо Минобрнауки России от 18.08.2017 N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 </w:t>
      </w:r>
    </w:p>
    <w:p w14:paraId="1A489D38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- Тематика занятий «Разговоры о важном» на 2022–2023 уч. год –</w:t>
      </w:r>
      <w:r>
        <w:fldChar w:fldCharType="begin"/>
      </w:r>
      <w:r>
        <w:instrText xml:space="preserve"> HYPERLINK "https://edsoo.ru/Vneurochnaya_deyatelnost.htm"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155CC"/>
          <w:sz w:val="26"/>
          <w:szCs w:val="26"/>
          <w:u w:val="single"/>
          <w:lang w:eastAsia="ru-RU"/>
        </w:rPr>
        <w:t>https://edsoo.ru/Vneurochnaya_deyatelnost.htm</w:t>
      </w:r>
      <w:r>
        <w:rPr>
          <w:rFonts w:ascii="Times New Roman" w:hAnsi="Times New Roman" w:eastAsia="Times New Roman" w:cs="Times New Roman"/>
          <w:color w:val="1155CC"/>
          <w:sz w:val="26"/>
          <w:szCs w:val="26"/>
          <w:u w:val="single"/>
          <w:lang w:eastAsia="ru-RU"/>
        </w:rPr>
        <w:fldChar w:fldCharType="end"/>
      </w:r>
    </w:p>
    <w:p w14:paraId="35F91013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- Методические рекомендации по формированию функциональной грамотности обучающихся –</w:t>
      </w:r>
      <w:r>
        <w:fldChar w:fldCharType="begin"/>
      </w:r>
      <w:r>
        <w:instrText xml:space="preserve"> HYPERLINK "http://skiv.instrao.ru/bank-zadaniy/"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155CC"/>
          <w:sz w:val="26"/>
          <w:szCs w:val="26"/>
          <w:u w:val="single"/>
          <w:lang w:eastAsia="ru-RU"/>
        </w:rPr>
        <w:t>http://skiv.instrao.ru/bank-zadaniy/</w:t>
      </w:r>
      <w:r>
        <w:rPr>
          <w:rFonts w:ascii="Times New Roman" w:hAnsi="Times New Roman" w:eastAsia="Times New Roman" w:cs="Times New Roman"/>
          <w:color w:val="1155CC"/>
          <w:sz w:val="26"/>
          <w:szCs w:val="26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  </w:t>
      </w:r>
    </w:p>
    <w:p w14:paraId="5F242502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- Протокол №1 от 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>27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.08.202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г. «Об утверждении Рабочей программы воспитания», рабочих программ учебных курсов внеурочной деятельности.</w:t>
      </w:r>
    </w:p>
    <w:p w14:paraId="3D523F68">
      <w:pPr>
        <w:shd w:val="clear" w:color="auto" w:fill="FFFFFF"/>
        <w:spacing w:after="0" w:line="240" w:lineRule="auto"/>
        <w:ind w:left="5" w:right="-1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- Устав МОБУ ««Новосергиевская СОШ №4». </w:t>
      </w:r>
    </w:p>
    <w:p w14:paraId="6D3E1E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Цель  внеурочной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форм, используемых преимущественно на урочных занятиях.</w:t>
      </w:r>
    </w:p>
    <w:p w14:paraId="6F41D6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План внеурочной деятельности сформирован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4ED939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Основными задачами организации внеурочной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деятельности являются следующие:</w:t>
      </w:r>
    </w:p>
    <w:p w14:paraId="742AF5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поддержка учебной деятельности обучающихся в достижении</w:t>
      </w:r>
    </w:p>
    <w:p w14:paraId="31A3F0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планируемых результатов освоения программы начального общего образования;</w:t>
      </w:r>
    </w:p>
    <w:p w14:paraId="50D223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2F52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14:paraId="39F1E6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1F14AE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</w:t>
      </w:r>
    </w:p>
    <w:p w14:paraId="78DFB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00B6EE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14:paraId="0280D9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культуры поведения в информационной среде.</w:t>
      </w:r>
    </w:p>
    <w:p w14:paraId="554AE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7C382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младшего школьника с учетом намеченных задач внеурочной деятельности. </w:t>
      </w:r>
    </w:p>
    <w:p w14:paraId="2D307C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При выборе направлений и отборе содержания обучения образовательная организация учитывала:</w:t>
      </w:r>
    </w:p>
    <w:p w14:paraId="285EA6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особенности образовательной организации (условия функционирования, тип школы, особенности контингента, кадровый  состав);</w:t>
      </w:r>
    </w:p>
    <w:p w14:paraId="07E513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57E163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00EEF6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организации, обладающие необходимыми ресурсами.</w:t>
      </w:r>
    </w:p>
    <w:p w14:paraId="1C0871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При выборе  направления внеурочной деятельности и их содержательное наполнение Образовательная организация ориентировалась, прежде всего, на свои особенности  функционирования, психолого-педагогические характеристики обучающихся, их потребности, интересы и уровни успешности обучения.</w:t>
      </w:r>
    </w:p>
    <w:p w14:paraId="442B03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выбору направлений внеурочной деятельности и их организации активное участие принимают  родители, как законные участники образовательных отношений. </w:t>
      </w:r>
    </w:p>
    <w:p w14:paraId="39FCE0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Направления  и цели внеурочной деятельности  </w:t>
      </w:r>
    </w:p>
    <w:p w14:paraId="3EB307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02F2F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Спортивно-оздоровительная деятельность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направлена 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57D071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Проектно-исследовательская деятельность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организуется как углубленное изучение учебных предметов в процессе совместной деятельности по выполнению проектов.</w:t>
      </w:r>
    </w:p>
    <w:p w14:paraId="026A3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.  Коммуникативная деятельность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4198AA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Художественно-эстетическая творческая деятельность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организуется,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 становлению умений участвовать в театрализованной деятельности.</w:t>
      </w:r>
    </w:p>
    <w:p w14:paraId="43834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Информационная культура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предполагает  учебные курсы в рамках внеурочной деятельности, которые формируют представления  младших школьников о разнообразных  современных информационных средствах и навыки выполнения разных видов работ на компьютере.</w:t>
      </w:r>
    </w:p>
    <w:p w14:paraId="6D5F41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Интеллектуальные марафоны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ииспособности к самообразованию. </w:t>
      </w:r>
    </w:p>
    <w:p w14:paraId="70660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Учение с увлечением</w:t>
      </w:r>
      <w:r>
        <w:rPr>
          <w:rFonts w:ascii="Times New Roman" w:hAnsi="Times New Roman" w:eastAsia="Times New Roman" w:cs="Times New Roman"/>
          <w:sz w:val="24"/>
          <w:szCs w:val="24"/>
        </w:rPr>
        <w:t>!» -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14:paraId="0279B5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Выбор  форм организации  внеурочной деятельности подчиняется следующим требованиям:</w:t>
      </w:r>
    </w:p>
    <w:p w14:paraId="59260B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целесообразность использования данной формы для решения  поставленных задач конкретного направления; </w:t>
      </w:r>
    </w:p>
    <w:p w14:paraId="6BB191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преобладание  практико-ориентированных  форм, 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318847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учет специфики  коммуникативной  деятельности, которая сопровождает то или иное направление  внеучебной деятельности;</w:t>
      </w:r>
    </w:p>
    <w:p w14:paraId="0247514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использование  форм  организации, предполагающих использование средств ИКТ.</w:t>
      </w:r>
    </w:p>
    <w:p w14:paraId="5BE60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Возможными формами организации внеурочной деятельности могут быть следующие: 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др. </w:t>
      </w:r>
    </w:p>
    <w:p w14:paraId="74F471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 деятельности. </w:t>
      </w:r>
    </w:p>
    <w:p w14:paraId="1B3DF6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Это может быть, например, спортивный комплекс, музей, театр и др.</w:t>
      </w:r>
    </w:p>
    <w:p w14:paraId="4C81BD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др.).</w:t>
      </w:r>
    </w:p>
    <w:p w14:paraId="6A5D31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 техническую, спортивную и другую деятельность.</w:t>
      </w:r>
    </w:p>
    <w:p w14:paraId="6D89C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52E334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Координирующую роль в организации внеурочной деятельности выполняет, основной учитель, ведущий класс начальной школы, завуч начальных классов, заместитель директора по учебно-воспитательной работе.</w:t>
      </w:r>
    </w:p>
    <w:p w14:paraId="6BFFC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Принципы организации внеурочной деятельности. </w:t>
      </w:r>
    </w:p>
    <w:p w14:paraId="047E4A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Организуя внеурочную деятельность школьников, педагогу рекомендуется придерживаться следующих принципов:</w:t>
      </w:r>
    </w:p>
    <w:p w14:paraId="40052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интерес;</w:t>
      </w:r>
    </w:p>
    <w:p w14:paraId="494FA4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сотрудничество;</w:t>
      </w:r>
    </w:p>
    <w:p w14:paraId="288FD9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доверие. </w:t>
      </w:r>
    </w:p>
    <w:p w14:paraId="75FC68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неназидательность. </w:t>
      </w:r>
    </w:p>
    <w:p w14:paraId="7C1857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DD8A2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соответствии с ФГОС начального общего  образования образовательная организация должна обеспечить обучающимся до 10 часов еженедельных занятий внеурочной деятельностью (до 1320 часов) на  уровне начального общего образования</w:t>
      </w:r>
    </w:p>
    <w:p w14:paraId="72BBB77C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Часы внеурочной деятельности  выделяются:</w:t>
      </w:r>
    </w:p>
    <w:p w14:paraId="07996B9E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занятия школьников в социально ориентированных объединениях:</w:t>
      </w:r>
    </w:p>
    <w:p w14:paraId="27B0D69F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экологических, волонтерских, трудовых и т.п.;</w:t>
      </w:r>
    </w:p>
    <w:p w14:paraId="3924588B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занятия школьников с педагогами, сопровождающими  деятельность детских общественных объединений и органов ученического самоуправления;</w:t>
      </w:r>
    </w:p>
    <w:p w14:paraId="75A49A19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занятия школьников с педагогами, сопровождающими их</w:t>
      </w:r>
    </w:p>
    <w:p w14:paraId="7B586BC9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проектно-исследовательскую деятельность;</w:t>
      </w:r>
    </w:p>
    <w:p w14:paraId="3DE6C769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занятия школьников в рамках циклов специально организованных</w:t>
      </w:r>
    </w:p>
    <w:p w14:paraId="0C78A406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внеурочных занятий, посвященных актуальным социальным, нравственным проблемам современного мира;</w:t>
      </w:r>
    </w:p>
    <w:p w14:paraId="488C43A0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профориентационные занятия школьников;</w:t>
      </w:r>
    </w:p>
    <w:p w14:paraId="34A5624C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занятия школьников в творческих объединениях: музыкальных,</w:t>
      </w:r>
    </w:p>
    <w:p w14:paraId="08EC2B08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хоровых, театральных, художественных, журналистских и т.п.;</w:t>
      </w:r>
    </w:p>
    <w:p w14:paraId="62C5A3EF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занятия школьников по углубленному изучению отдельных</w:t>
      </w:r>
    </w:p>
    <w:p w14:paraId="4F36645F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учебных предметов: физики, химии, биологии, информатики, математики, второго иностранного языка и т.п.;</w:t>
      </w:r>
    </w:p>
    <w:p w14:paraId="40251EC9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занятия школьников по формированию их функциональной</w:t>
      </w:r>
    </w:p>
    <w:p w14:paraId="26D23DFB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грамотности;</w:t>
      </w:r>
    </w:p>
    <w:p w14:paraId="47F15D37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дополнительные занятия школьников, испытывающих затруднения</w:t>
      </w:r>
    </w:p>
    <w:p w14:paraId="1075968B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освоении учебной программы;</w:t>
      </w:r>
    </w:p>
    <w:p w14:paraId="531D855A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дополнительные занятия школьников, испытывающих трудности в</w:t>
      </w:r>
    </w:p>
    <w:p w14:paraId="0600B2F4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освоении языка преподавания;</w:t>
      </w:r>
    </w:p>
    <w:p w14:paraId="6A184C98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специальные занятия школьников, испытывающих затруднения в</w:t>
      </w:r>
    </w:p>
    <w:p w14:paraId="285B506E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социальной коммуникации, как в среде сверстников, так и в обществе в</w:t>
      </w:r>
    </w:p>
    <w:p w14:paraId="64A8BF53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целом;</w:t>
      </w:r>
    </w:p>
    <w:p w14:paraId="2662430E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специальные занятия школьников с ограниченными возможностями здоровья;</w:t>
      </w:r>
    </w:p>
    <w:p w14:paraId="2E241311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 занятия школьников в спортивных и туристских секциях и клубах,</w:t>
      </w:r>
    </w:p>
    <w:p w14:paraId="662C29E4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организацию турниров, соревнований, походов, экскурсий, слетов,</w:t>
      </w:r>
    </w:p>
    <w:p w14:paraId="2A8E9C65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оздоровительных мероприятий и т.п.</w:t>
      </w:r>
    </w:p>
    <w:p w14:paraId="53B0145B">
      <w:pPr>
        <w:widowControl w:val="0"/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Реализация плана образовательного учреждения по направлениям:</w:t>
      </w:r>
    </w:p>
    <w:p w14:paraId="091CAF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Спортивно-оздоровительная деятельность</w:t>
      </w:r>
    </w:p>
    <w:p w14:paraId="17AF80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«Футбол» ,ШСК «Спарта»» 1-4 класс</w:t>
      </w:r>
    </w:p>
    <w:p w14:paraId="3DF2F3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формирование представлений учащихся о здоровом образе жизни, развитие физической активности и двигательных навыков.</w:t>
      </w:r>
    </w:p>
    <w:p w14:paraId="4CE0E6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организации:  спортивная студия,  учебный курс физической культуры,  факультатив, спортивная секция,  проект ШСК  </w:t>
      </w:r>
    </w:p>
    <w:p w14:paraId="6DD001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«Шахматы » 4-е классы</w:t>
      </w:r>
    </w:p>
    <w:p w14:paraId="587331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</w:t>
      </w:r>
    </w:p>
    <w:p w14:paraId="16BA3F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организации: учебный курс —факультатив «Шахматы » ; игры-соревнования в шахматы «Юные шахматисты».</w:t>
      </w:r>
    </w:p>
    <w:p w14:paraId="50EFF3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2. Проектно-исследовательская деятельность</w:t>
      </w:r>
    </w:p>
    <w:p w14:paraId="5A61F1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«Моё Оренбуржье» 1-4 классы</w:t>
      </w:r>
    </w:p>
    <w:p w14:paraId="7B6225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D12EC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Цель: расширение знаний учащихся об истории родного края, формирование умения работать с разными источниками информации; </w:t>
      </w:r>
    </w:p>
    <w:p w14:paraId="6812CD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познавательной активности и интереса к семье истории, культуре родного края; </w:t>
      </w:r>
    </w:p>
    <w:p w14:paraId="4E1935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воспитание чувства патриотизма, любви к «малой Родине». </w:t>
      </w:r>
    </w:p>
    <w:p w14:paraId="1A7ED1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организации: факультативный курс краеведения; творческие проекты, исследовательские проекты,  </w:t>
      </w:r>
    </w:p>
    <w:p w14:paraId="619FBF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 Коммуникативная деятельность</w:t>
      </w:r>
    </w:p>
    <w:p w14:paraId="6A985D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«Основы смыслового чтения » 2-3 класс</w:t>
      </w:r>
    </w:p>
    <w:p w14:paraId="1CD998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совершенствование функциональной языковой и коммуникативной грамотности, культуры диалогического общения и словесного творчества; развитие способности работать в команде.</w:t>
      </w:r>
    </w:p>
    <w:p w14:paraId="6EB04E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организации: творческая студия создание  ежеквартального журнала класса, сбор фото  и литературного материала, его редактирование, конструирование структуры, формы организации и оформления журнала.</w:t>
      </w:r>
    </w:p>
    <w:p w14:paraId="41CB53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Занятия  «Разговор о важном».1-4 классы</w:t>
      </w:r>
    </w:p>
    <w:p w14:paraId="7D861C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Цель: развитие ценностного отношения школьников к своей родине - России, населяющим ее людям, ее уникальной истории,</w:t>
      </w:r>
    </w:p>
    <w:p w14:paraId="0B5495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богатой  природе и великой культуре. Занятия  направлены на 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47BA99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организации: дискуссионный клуб.</w:t>
      </w:r>
    </w:p>
    <w:p w14:paraId="6F5B9A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Художественно-эстетическая творческая деятельность</w:t>
      </w:r>
    </w:p>
    <w:p w14:paraId="2263A6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BF4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«Школьный театр»  1-4 класс</w:t>
      </w:r>
    </w:p>
    <w:p w14:paraId="570AA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расширение представлений о театральном творчестве, формирование умений импровизировать, вступать в ролевые отношения,  перевоплощаться; развитие творческих способностей, интереса к театральному искусству и театрализованной деятельности.</w:t>
      </w:r>
    </w:p>
    <w:p w14:paraId="3C051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организации: театральная студия, спектакли по мотивам сказок.</w:t>
      </w:r>
    </w:p>
    <w:p w14:paraId="6464B8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«Вокальная студия «Домисолька » 1-4 класс</w:t>
      </w:r>
    </w:p>
    <w:p w14:paraId="650616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развитие у младших школьников творческих способностей, интереса к вокальному искусству, расширение музыкального кругозора, знаний обучающихся о музыкальном творчестве, произведениях народной и авторской и эстрадной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14:paraId="235A0A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организации: вокальная студия</w:t>
      </w:r>
    </w:p>
    <w:p w14:paraId="1C179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5. Интеллектуальные марафоны</w:t>
      </w:r>
    </w:p>
    <w:p w14:paraId="3A7875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Интеллектуальный марафон для младших школьников «По просторам математики» 2-3 классы</w:t>
      </w:r>
    </w:p>
    <w:p w14:paraId="28DD2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расширение знаний по математике (ежегодно тема обновляется), развитие способности работать в условиях командных соревнований.</w:t>
      </w:r>
    </w:p>
    <w:p w14:paraId="6E0E3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организации: интеллектуальный турнир</w:t>
      </w:r>
    </w:p>
    <w:p w14:paraId="12F6B3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«Быстрый счёт»»  2-4 класс (по выбору)</w:t>
      </w:r>
    </w:p>
    <w:p w14:paraId="727D9A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расширение  знаний и  представлений о математике</w:t>
      </w:r>
    </w:p>
    <w:p w14:paraId="4CA5C4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организации:  конференция</w:t>
      </w:r>
    </w:p>
    <w:p w14:paraId="2C7A43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7. «Учение с увлечением!»</w:t>
      </w:r>
    </w:p>
    <w:p w14:paraId="7A31F8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«Основы смыслового чтения» 2-3 классы</w:t>
      </w:r>
    </w:p>
    <w:p w14:paraId="6777E7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Цель: совершенствование читательской грамотности младших школьников, поддержка учащихся, испытывающих затруднения, расширение  знаний и  представлений в достижении планируемых результатов, связанных с овладением чтением как предметным и метапредметным результатом</w:t>
      </w:r>
    </w:p>
    <w:p w14:paraId="10CC3D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организации: учебный курс — факультатив;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5C8DEA59">
      <w:pPr>
        <w:widowControl w:val="0"/>
        <w:shd w:val="clear" w:color="auto" w:fill="FFFFFF"/>
        <w:autoSpaceDE w:val="0"/>
        <w:autoSpaceDN w:val="0"/>
        <w:spacing w:before="66" w:after="0" w:line="240" w:lineRule="auto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10B136B">
      <w:pPr>
        <w:widowControl w:val="0"/>
        <w:autoSpaceDE w:val="0"/>
        <w:autoSpaceDN w:val="0"/>
        <w:spacing w:after="200" w:line="276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Программы, предлагаемые к реализации в 2022-23 учебном году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Таблица 1</w:t>
      </w:r>
    </w:p>
    <w:p w14:paraId="4221E46B">
      <w:pPr>
        <w:widowControl w:val="0"/>
        <w:shd w:val="clear" w:color="auto" w:fill="FFFFFF"/>
        <w:suppressAutoHyphens/>
        <w:autoSpaceDE w:val="0"/>
        <w:spacing w:before="66" w:after="0" w:line="240" w:lineRule="auto"/>
        <w:outlineLvl w:val="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</w:p>
    <w:p w14:paraId="1A111E10">
      <w:pPr>
        <w:widowControl w:val="0"/>
        <w:shd w:val="clear" w:color="auto" w:fill="FFFFFF"/>
        <w:suppressAutoHyphens/>
        <w:autoSpaceDE w:val="0"/>
        <w:spacing w:before="66" w:after="0" w:line="240" w:lineRule="auto"/>
        <w:outlineLvl w:val="1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5"/>
        <w:tblW w:w="72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60"/>
        <w:gridCol w:w="2340"/>
        <w:gridCol w:w="720"/>
        <w:gridCol w:w="540"/>
        <w:gridCol w:w="720"/>
        <w:gridCol w:w="720"/>
      </w:tblGrid>
      <w:tr w14:paraId="13845D7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5392687B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Направление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151B100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Название факультатива</w:t>
            </w:r>
          </w:p>
          <w:p w14:paraId="000220F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(кружка, занятия)</w:t>
            </w:r>
          </w:p>
        </w:tc>
        <w:tc>
          <w:tcPr>
            <w:tcW w:w="72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7821129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кл</w:t>
            </w:r>
          </w:p>
        </w:tc>
        <w:tc>
          <w:tcPr>
            <w:tcW w:w="5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0951699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2кл</w:t>
            </w:r>
          </w:p>
        </w:tc>
        <w:tc>
          <w:tcPr>
            <w:tcW w:w="72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52C8895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3кл</w:t>
            </w:r>
          </w:p>
        </w:tc>
        <w:tc>
          <w:tcPr>
            <w:tcW w:w="72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</w:tcPr>
          <w:p w14:paraId="18DF786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4кл</w:t>
            </w:r>
          </w:p>
        </w:tc>
      </w:tr>
      <w:tr w14:paraId="10AE2E5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50" w:hRule="atLeast"/>
        </w:trPr>
        <w:tc>
          <w:tcPr>
            <w:tcW w:w="2160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auto"/>
          </w:tcPr>
          <w:p w14:paraId="7D8BC60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Спортивно-оздоровительная деятельность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574986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«Футбол»</w:t>
            </w:r>
          </w:p>
        </w:tc>
        <w:tc>
          <w:tcPr>
            <w:tcW w:w="720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1D3C83A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70FBDD6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4EB0EBD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D6B5D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4432FC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58" w:hRule="atLeast"/>
        </w:trPr>
        <w:tc>
          <w:tcPr>
            <w:tcW w:w="2160" w:type="dxa"/>
            <w:vMerge w:val="continue"/>
            <w:tcBorders>
              <w:left w:val="single" w:color="000000" w:sz="0" w:space="0"/>
            </w:tcBorders>
            <w:shd w:val="clear" w:color="auto" w:fill="auto"/>
          </w:tcPr>
          <w:p w14:paraId="6F6C493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109385C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ШСК «Спарта»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6063F38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5347361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68C856FD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</w:tcPr>
          <w:p w14:paraId="6B7D480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578EE3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30" w:hRule="atLeast"/>
        </w:trPr>
        <w:tc>
          <w:tcPr>
            <w:tcW w:w="21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4DF67E1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0F47428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«Шахматы »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7DAD4A3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68982401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2F2F9468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</w:tcPr>
          <w:p w14:paraId="7F9416F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6EE9D2B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30" w:hRule="atLeast"/>
        </w:trPr>
        <w:tc>
          <w:tcPr>
            <w:tcW w:w="21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25097A1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0BD4BC32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«Школа общения»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0CD7998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27A7F7CB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3F31A57B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</w:tcPr>
          <w:p w14:paraId="3E51E4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14:paraId="782303D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70" w:hRule="atLeast"/>
        </w:trPr>
        <w:tc>
          <w:tcPr>
            <w:tcW w:w="216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4D5ADB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Проектно-исследовательская деятельность</w:t>
            </w:r>
          </w:p>
          <w:p w14:paraId="669E378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3B83A4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«Моё Оренбуржье».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6A8E87ED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49169E6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2779E93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F3954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112F0A0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00" w:hRule="atLeast"/>
        </w:trPr>
        <w:tc>
          <w:tcPr>
            <w:tcW w:w="2160" w:type="dxa"/>
            <w:vMerge w:val="restart"/>
            <w:tcBorders>
              <w:left w:val="single" w:color="000000" w:sz="0" w:space="0"/>
            </w:tcBorders>
            <w:shd w:val="clear" w:color="auto" w:fill="auto"/>
          </w:tcPr>
          <w:p w14:paraId="5FBBFC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340" w:type="dxa"/>
            <w:vMerge w:val="restart"/>
            <w:tcBorders>
              <w:top w:val="single" w:color="auto" w:sz="4" w:space="0"/>
              <w:left w:val="single" w:color="000000" w:sz="0" w:space="0"/>
            </w:tcBorders>
            <w:shd w:val="clear" w:color="auto" w:fill="auto"/>
          </w:tcPr>
          <w:p w14:paraId="373788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«Основы смыслового чтения »</w:t>
            </w:r>
          </w:p>
          <w:p w14:paraId="64DC0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000000" w:sz="0" w:space="0"/>
            </w:tcBorders>
            <w:shd w:val="clear" w:color="auto" w:fill="auto"/>
          </w:tcPr>
          <w:p w14:paraId="4975CA5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0" w:space="0"/>
            </w:tcBorders>
            <w:shd w:val="clear" w:color="auto" w:fill="auto"/>
          </w:tcPr>
          <w:p w14:paraId="1B33AD8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000000" w:sz="0" w:space="0"/>
            </w:tcBorders>
            <w:shd w:val="clear" w:color="auto" w:fill="auto"/>
          </w:tcPr>
          <w:p w14:paraId="43759C4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000000" w:sz="0" w:space="0"/>
              <w:right w:val="single" w:color="auto" w:sz="4" w:space="0"/>
            </w:tcBorders>
            <w:shd w:val="clear" w:color="auto" w:fill="auto"/>
          </w:tcPr>
          <w:p w14:paraId="27AFEAE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14:paraId="5A07FF5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00" w:hRule="atLeast"/>
        </w:trPr>
        <w:tc>
          <w:tcPr>
            <w:tcW w:w="2160" w:type="dxa"/>
            <w:vMerge w:val="continue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0F89E1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13C73B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645EB59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03E8913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3CF0DA82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2DA71D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14:paraId="7716256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00" w:hRule="atLeast"/>
        </w:trPr>
        <w:tc>
          <w:tcPr>
            <w:tcW w:w="2160" w:type="dxa"/>
            <w:tcBorders>
              <w:top w:val="single" w:color="auto" w:sz="4" w:space="0"/>
              <w:left w:val="single" w:color="000000" w:sz="0" w:space="0"/>
            </w:tcBorders>
            <w:shd w:val="clear" w:color="auto" w:fill="auto"/>
          </w:tcPr>
          <w:p w14:paraId="50CF16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17F177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«Разговор о важном».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21BCE6D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5938805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35F5C37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325962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015CA4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380" w:hRule="atLeast"/>
        </w:trPr>
        <w:tc>
          <w:tcPr>
            <w:tcW w:w="2160" w:type="dxa"/>
            <w:vMerge w:val="restart"/>
            <w:tcBorders>
              <w:left w:val="single" w:color="000000" w:sz="0" w:space="0"/>
            </w:tcBorders>
            <w:shd w:val="clear" w:color="auto" w:fill="auto"/>
          </w:tcPr>
          <w:p w14:paraId="57F451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  <w:p w14:paraId="4AB533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2EAAD5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«Дело мастера боится » (работа с природным материалом)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40F7B67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076C292B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25A1E79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65950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15B7CF9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00" w:hRule="atLeast"/>
        </w:trPr>
        <w:tc>
          <w:tcPr>
            <w:tcW w:w="2160" w:type="dxa"/>
            <w:vMerge w:val="continue"/>
            <w:tcBorders>
              <w:left w:val="single" w:color="000000" w:sz="0" w:space="0"/>
            </w:tcBorders>
            <w:shd w:val="clear" w:color="auto" w:fill="auto"/>
          </w:tcPr>
          <w:p w14:paraId="06235D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7AD202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«Школьный театр»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7042087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5B51C32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21141B5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CC9132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65B634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40" w:hRule="atLeast"/>
        </w:trPr>
        <w:tc>
          <w:tcPr>
            <w:tcW w:w="2160" w:type="dxa"/>
            <w:vMerge w:val="continue"/>
            <w:tcBorders>
              <w:left w:val="single" w:color="000000" w:sz="0" w:space="0"/>
            </w:tcBorders>
            <w:shd w:val="clear" w:color="auto" w:fill="auto"/>
          </w:tcPr>
          <w:p w14:paraId="36CE29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46AC0A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«Домисолька»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4A0F551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5D155C11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48971D51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954C1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415648B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0" w:hRule="atLeast"/>
        </w:trPr>
        <w:tc>
          <w:tcPr>
            <w:tcW w:w="21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5DC30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32C6D2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6713D4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«Орлята России»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4DDAE52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20D63C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7F03441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</w:tcPr>
          <w:p w14:paraId="63835B7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069AEB7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146" w:hRule="atLeast"/>
        </w:trPr>
        <w:tc>
          <w:tcPr>
            <w:tcW w:w="2160" w:type="dxa"/>
            <w:tcBorders>
              <w:top w:val="single" w:color="auto" w:sz="4" w:space="0"/>
              <w:left w:val="single" w:color="000000" w:sz="0" w:space="0"/>
            </w:tcBorders>
            <w:shd w:val="clear" w:color="auto" w:fill="auto"/>
          </w:tcPr>
          <w:p w14:paraId="4097DE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Интеллектуальные </w:t>
            </w:r>
          </w:p>
          <w:p w14:paraId="78B335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марафоны</w:t>
            </w:r>
          </w:p>
          <w:p w14:paraId="1AC5F41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000000" w:sz="0" w:space="0"/>
            </w:tcBorders>
            <w:shd w:val="clear" w:color="auto" w:fill="auto"/>
          </w:tcPr>
          <w:p w14:paraId="449C79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«По просторам математики»</w:t>
            </w:r>
          </w:p>
          <w:p w14:paraId="3E885DD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  <w:tcBorders>
              <w:left w:val="single" w:color="000000" w:sz="0" w:space="0"/>
            </w:tcBorders>
            <w:shd w:val="clear" w:color="auto" w:fill="auto"/>
          </w:tcPr>
          <w:p w14:paraId="2E08B42B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  <w:p w14:paraId="7EBC5C28">
            <w:pPr>
              <w:widowControl w:val="0"/>
              <w:suppressLineNumbers/>
              <w:tabs>
                <w:tab w:val="left" w:pos="55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left w:val="single" w:color="000000" w:sz="0" w:space="0"/>
            </w:tcBorders>
            <w:shd w:val="clear" w:color="auto" w:fill="auto"/>
          </w:tcPr>
          <w:p w14:paraId="4BA8ED4B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left w:val="single" w:color="000000" w:sz="0" w:space="0"/>
            </w:tcBorders>
            <w:shd w:val="clear" w:color="auto" w:fill="auto"/>
          </w:tcPr>
          <w:p w14:paraId="228002B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left w:val="single" w:color="000000" w:sz="0" w:space="0"/>
              <w:right w:val="single" w:color="auto" w:sz="4" w:space="0"/>
            </w:tcBorders>
            <w:shd w:val="clear" w:color="auto" w:fill="auto"/>
          </w:tcPr>
          <w:p w14:paraId="765F65A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14:paraId="3B0EC2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1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0B13A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73734C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«Быстрый счет»</w:t>
            </w:r>
          </w:p>
        </w:tc>
        <w:tc>
          <w:tcPr>
            <w:tcW w:w="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1B17E3F1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4E839CD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351D19D8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</w:tcPr>
          <w:p w14:paraId="5029DA8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w14:paraId="7C8C204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00" w:hRule="atLeast"/>
        </w:trPr>
        <w:tc>
          <w:tcPr>
            <w:tcW w:w="2160" w:type="dxa"/>
            <w:tcBorders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3F9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«Учение с увлечением!»</w:t>
            </w:r>
          </w:p>
          <w:p w14:paraId="13DB89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26CBF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«Основы смыслового чтения»</w:t>
            </w:r>
          </w:p>
        </w:tc>
        <w:tc>
          <w:tcPr>
            <w:tcW w:w="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0700BD6B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2868C06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left w:val="single" w:color="000000" w:sz="0" w:space="0"/>
              <w:bottom w:val="single" w:color="auto" w:sz="4" w:space="0"/>
            </w:tcBorders>
            <w:shd w:val="clear" w:color="auto" w:fill="auto"/>
          </w:tcPr>
          <w:p w14:paraId="754F5F0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dxa"/>
            <w:tcBorders>
              <w:left w:val="single" w:color="000000" w:sz="0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D858B2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14:paraId="752C317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1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5EDDFD2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23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077391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605C422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5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349175B2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2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 w14:paraId="734FD58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720" w:type="dxa"/>
            <w:tcBorders>
              <w:left w:val="single" w:color="000000" w:sz="0" w:space="0"/>
              <w:bottom w:val="single" w:color="000000" w:sz="0" w:space="0"/>
              <w:tr2bl w:val="single" w:color="auto" w:sz="4" w:space="0"/>
            </w:tcBorders>
            <w:shd w:val="clear" w:color="auto" w:fill="auto"/>
          </w:tcPr>
          <w:p w14:paraId="4A4E8E78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</w:tbl>
    <w:p w14:paraId="21C1AE1D">
      <w:pPr>
        <w:widowControl w:val="0"/>
        <w:autoSpaceDE w:val="0"/>
        <w:autoSpaceDN w:val="0"/>
        <w:spacing w:before="120"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Общее количество часов в текущем учебном году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>Таблица 2.</w:t>
      </w:r>
    </w:p>
    <w:p w14:paraId="11E92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A2F2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F20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11"/>
        <w:tblW w:w="0" w:type="auto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1372"/>
        <w:gridCol w:w="1276"/>
        <w:gridCol w:w="1417"/>
        <w:gridCol w:w="1418"/>
      </w:tblGrid>
      <w:tr w14:paraId="24AF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 w14:paraId="5CD15C46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</w:tcPr>
          <w:p w14:paraId="66317D5F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276" w:type="dxa"/>
          </w:tcPr>
          <w:p w14:paraId="05F52753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2 кл</w:t>
            </w:r>
          </w:p>
        </w:tc>
        <w:tc>
          <w:tcPr>
            <w:tcW w:w="1417" w:type="dxa"/>
          </w:tcPr>
          <w:p w14:paraId="33AC9D2E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1418" w:type="dxa"/>
          </w:tcPr>
          <w:p w14:paraId="64A8807B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4кл</w:t>
            </w:r>
          </w:p>
        </w:tc>
      </w:tr>
      <w:tr w14:paraId="150C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 w14:paraId="2B329F26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 xml:space="preserve">Максимально </w:t>
            </w:r>
          </w:p>
          <w:p w14:paraId="232C7693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 xml:space="preserve">допустимая нагрузка </w:t>
            </w:r>
          </w:p>
          <w:p w14:paraId="1B0FF2D7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на ученика в год (часах)</w:t>
            </w:r>
          </w:p>
        </w:tc>
        <w:tc>
          <w:tcPr>
            <w:tcW w:w="1372" w:type="dxa"/>
          </w:tcPr>
          <w:p w14:paraId="52E2DDFB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76" w:type="dxa"/>
          </w:tcPr>
          <w:p w14:paraId="6248F323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417" w:type="dxa"/>
          </w:tcPr>
          <w:p w14:paraId="4C6246D0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418" w:type="dxa"/>
          </w:tcPr>
          <w:p w14:paraId="3544E0D3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340</w:t>
            </w:r>
          </w:p>
        </w:tc>
      </w:tr>
      <w:tr w14:paraId="23D2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 w14:paraId="334D4D70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Фактическая нагрузка на ученика</w:t>
            </w:r>
          </w:p>
          <w:p w14:paraId="48284D5C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в год  (часах)</w:t>
            </w:r>
          </w:p>
        </w:tc>
        <w:tc>
          <w:tcPr>
            <w:tcW w:w="1372" w:type="dxa"/>
          </w:tcPr>
          <w:p w14:paraId="55E510BF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hint="default" w:ascii="Times New Roman" w:hAnsi="Times New Roman" w:eastAsia="Times New Roman" w:cs="Times New Roman"/>
                <w:color w:val="444444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444444"/>
                <w:sz w:val="24"/>
                <w:szCs w:val="24"/>
                <w:lang w:val="en-US" w:eastAsia="ru-RU"/>
              </w:rPr>
              <w:t>306</w:t>
            </w:r>
          </w:p>
        </w:tc>
        <w:tc>
          <w:tcPr>
            <w:tcW w:w="1276" w:type="dxa"/>
          </w:tcPr>
          <w:p w14:paraId="3AF89502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417" w:type="dxa"/>
          </w:tcPr>
          <w:p w14:paraId="5B864E51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hint="default" w:ascii="Times New Roman" w:hAnsi="Times New Roman" w:eastAsia="Times New Roman" w:cs="Times New Roman"/>
                <w:color w:val="44444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444444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1418" w:type="dxa"/>
          </w:tcPr>
          <w:p w14:paraId="1252A750">
            <w:pPr>
              <w:widowControl w:val="0"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34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color w:val="444444"/>
                <w:sz w:val="24"/>
                <w:szCs w:val="24"/>
                <w:lang w:eastAsia="ru-RU"/>
              </w:rPr>
              <w:t>0</w:t>
            </w:r>
          </w:p>
        </w:tc>
      </w:tr>
    </w:tbl>
    <w:p w14:paraId="3B96518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7E1CD3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Планируемые  результаты  внеурочной  деятельности </w:t>
      </w:r>
    </w:p>
    <w:p w14:paraId="5DAFF0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Внеурочная деятельность является неотъемлемой и обязательной частью  образовательного процесса в МОБУ «Новосергиевская СОШ №4» и должна найти свое отражение в основной образовательной программе. </w:t>
      </w:r>
    </w:p>
    <w:p w14:paraId="482D1C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Она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</w:t>
      </w:r>
    </w:p>
    <w:p w14:paraId="7A8788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(личностных, метапредметных и предметных) </w:t>
      </w:r>
    </w:p>
    <w:p w14:paraId="27DFD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Ценностные ориентиры начального общего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14:paraId="3E023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- формирование основ гражданской идентичности личности</w:t>
      </w:r>
    </w:p>
    <w:p w14:paraId="473ED3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 формирование психологических условий развития общения, сотрудничества на основе: – доброжелательности, доверия и внимания к людям, готовности к сотрудничеству и дружбе, оказанию помощи тем, кто в ней нуждается; </w:t>
      </w:r>
    </w:p>
    <w:p w14:paraId="6D2D1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развитие ценностно-смысловой сферы личности на основе общечеловеческих принципов нравственности и гуманизма: – принятия и уважения ценностей семьи и образовательной организации, коллектива и общества и стремления следовать им; </w:t>
      </w:r>
    </w:p>
    <w:p w14:paraId="2D3770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 развитие умения учиться как первого шага к самообразованию и самовоспитанию, </w:t>
      </w:r>
    </w:p>
    <w:p w14:paraId="6B9F39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-развитие самостоятельности, инициативы и ответственности личности как условия ее самоактуализации: 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14:paraId="5E2A8C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Реализация ценностных ориентиров общего образования в единстве обучения и воспитания, познавательного и личностного развития обучающихся на основе 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обучающихся.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</w:p>
    <w:p w14:paraId="397E2A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Метапредметные результаты включают:</w:t>
      </w:r>
    </w:p>
    <w:p w14:paraId="2CEEEAB8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14:paraId="4CE50A5B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способность их использовать в учебной, познавательной и социальной практике;</w:t>
      </w:r>
    </w:p>
    <w:p w14:paraId="0D30D0C9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0BA91411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14:paraId="584B0FA4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качестве основных результатов учебно-исследовательской и проектной деятельности младших школьников рассматриваются такие метапредметные результаты, как сформированные умения: наблюдать, измерять, сравнивать, моделировать, выдвигать гипотезы, экспериментировать, определять понятия, устанавливать причинно-следственные связи и работать с источниками информации.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предметов. </w:t>
      </w:r>
    </w:p>
    <w:p w14:paraId="0BDDB783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качестве результата следует также включить:</w:t>
      </w:r>
    </w:p>
    <w:p w14:paraId="2639B59D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готовность слушать и слышать собеседника;</w:t>
      </w:r>
    </w:p>
    <w:p w14:paraId="02D80A2C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умение в корректной форме формулировать и оценивать познавательные вопросы; </w:t>
      </w:r>
    </w:p>
    <w:p w14:paraId="3758E93C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проявлять самостоятельность в обучении, инициативу в использовании своих мыслительных способностей;</w:t>
      </w:r>
    </w:p>
    <w:p w14:paraId="65F00988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 стороны; отвечать за свои действия и их последствия</w:t>
      </w:r>
    </w:p>
    <w:p w14:paraId="174E99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Овладение универсальными учебными познавательными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14:paraId="22C933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Овладение системой универсальных учебных коммуникативных действий обеспечивает сформированность социальных навыков общения, совместной деятельности.</w:t>
      </w:r>
    </w:p>
    <w:p w14:paraId="721550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Овладение универсальными учебными регулятивными действиями включает умения самоорганизации, самоконтроля, развитие эмоционального интеллекта</w:t>
      </w:r>
    </w:p>
    <w:p w14:paraId="4DBD11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ФГОС НОО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продвижения обучающихся на следующем уровне образования.</w:t>
      </w:r>
    </w:p>
    <w:p w14:paraId="4A531C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Предметные результаты включают: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Включение задачи формирования ИКТ-компетентности в программу формирования универсальных учебных действий позволяет организации, осуществляющей образовательную деятельность и учителю формировать умение работать с информацией и использовать инструменты ИКТ .</w:t>
      </w:r>
    </w:p>
    <w:p w14:paraId="1C8EAA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Диагностика эффективности организации внеурочной деятельности</w:t>
      </w:r>
    </w:p>
    <w:p w14:paraId="071C06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>Цель диагностики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– выяснить, являются ли и в какой степени воспитывающими те виды внеурочной деятельности, которыми занят школьник. </w:t>
      </w:r>
    </w:p>
    <w:p w14:paraId="753D641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Диагностика эффективности внеурочной деятельности школьников</w:t>
      </w:r>
    </w:p>
    <w:p w14:paraId="0023CC5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Личность самого обучающегося</w:t>
      </w:r>
    </w:p>
    <w:p w14:paraId="037B3A96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Детский коллектив</w:t>
      </w:r>
    </w:p>
    <w:p w14:paraId="458AC13D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>Анкетирование родителей и законных представителей ( по организации и внеурочной деятельности детей)</w:t>
      </w:r>
    </w:p>
    <w:p w14:paraId="63D37950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 сформированность познавательного, коммуникативного, нравственного, эстетического потенциала личности:</w:t>
      </w:r>
    </w:p>
    <w:p w14:paraId="11F1C84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Листы наблюдений</w:t>
      </w:r>
    </w:p>
    <w:p w14:paraId="09060A09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Контрольные вопросы</w:t>
      </w:r>
    </w:p>
    <w:p w14:paraId="6833D4F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Анкеты</w:t>
      </w:r>
    </w:p>
    <w:p w14:paraId="106C14BE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Тесты</w:t>
      </w:r>
    </w:p>
    <w:p w14:paraId="726C987D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en-US"/>
        </w:rPr>
        <w:t>Защита проектов</w:t>
      </w:r>
    </w:p>
    <w:p w14:paraId="0B92200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1" w:leftChars="-1" w:hanging="3"/>
        <w:jc w:val="both"/>
        <w:textAlignment w:val="top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Результативность участия в конкурсах различной направленности  и уровней. </w:t>
      </w:r>
    </w:p>
    <w:p w14:paraId="4D05A5CD">
      <w:pPr>
        <w:widowControl w:val="0"/>
        <w:shd w:val="clear" w:color="auto" w:fill="FFFFFF"/>
        <w:autoSpaceDE w:val="0"/>
        <w:autoSpaceDN w:val="0"/>
        <w:spacing w:before="66" w:after="0" w:line="240" w:lineRule="auto"/>
        <w:jc w:val="both"/>
        <w:outlineLvl w:val="1"/>
        <w:rPr>
          <w:rFonts w:ascii="Times New Roman" w:hAnsi="Times New Roman" w:eastAsia="Times New Roman" w:cs="Times New Roman"/>
          <w:color w:val="444444"/>
          <w:sz w:val="24"/>
          <w:szCs w:val="24"/>
        </w:rPr>
      </w:pPr>
    </w:p>
    <w:p w14:paraId="586C6D05">
      <w:pPr>
        <w:widowControl w:val="0"/>
        <w:shd w:val="clear" w:color="auto" w:fill="FFFFFF"/>
        <w:autoSpaceDE w:val="0"/>
        <w:autoSpaceDN w:val="0"/>
        <w:spacing w:before="66" w:after="0" w:line="240" w:lineRule="auto"/>
        <w:jc w:val="both"/>
        <w:outlineLvl w:val="1"/>
        <w:rPr>
          <w:rFonts w:ascii="Times New Roman" w:hAnsi="Times New Roman" w:eastAsia="Times New Roman" w:cs="Times New Roman"/>
          <w:color w:val="444444"/>
          <w:sz w:val="24"/>
          <w:szCs w:val="24"/>
        </w:rPr>
      </w:pPr>
    </w:p>
    <w:p w14:paraId="3FEDE923">
      <w:pPr>
        <w:widowControl w:val="0"/>
        <w:shd w:val="clear" w:color="auto" w:fill="FFFFFF"/>
        <w:autoSpaceDE w:val="0"/>
        <w:autoSpaceDN w:val="0"/>
        <w:spacing w:before="66" w:after="0" w:line="240" w:lineRule="auto"/>
        <w:outlineLvl w:val="1"/>
        <w:rPr>
          <w:rFonts w:ascii="Times New Roman" w:hAnsi="Times New Roman" w:eastAsia="Times New Roman" w:cs="Times New Roman"/>
          <w:color w:val="444444"/>
          <w:sz w:val="24"/>
          <w:szCs w:val="24"/>
        </w:rPr>
      </w:pPr>
    </w:p>
    <w:p w14:paraId="2DABA239">
      <w:pPr>
        <w:rPr>
          <w:rFonts w:ascii="Times New Roman" w:hAnsi="Times New Roman" w:cs="Times New Roman"/>
          <w:sz w:val="24"/>
          <w:szCs w:val="24"/>
        </w:rPr>
      </w:pPr>
    </w:p>
    <w:p w14:paraId="01A543C0">
      <w:pPr>
        <w:rPr>
          <w:rFonts w:ascii="Times New Roman" w:hAnsi="Times New Roman" w:cs="Times New Roman"/>
          <w:sz w:val="24"/>
          <w:szCs w:val="24"/>
        </w:rPr>
      </w:pPr>
    </w:p>
    <w:p w14:paraId="03F42AF9">
      <w:pPr>
        <w:rPr>
          <w:rFonts w:ascii="Times New Roman" w:hAnsi="Times New Roman" w:cs="Times New Roman"/>
          <w:sz w:val="24"/>
          <w:szCs w:val="24"/>
        </w:rPr>
      </w:pPr>
    </w:p>
    <w:p w14:paraId="4257E8EC">
      <w:pPr>
        <w:rPr>
          <w:rFonts w:ascii="Times New Roman" w:hAnsi="Times New Roman" w:cs="Times New Roman"/>
          <w:sz w:val="24"/>
          <w:szCs w:val="24"/>
        </w:rPr>
      </w:pPr>
    </w:p>
    <w:p w14:paraId="2A13DEB0">
      <w:pPr>
        <w:rPr>
          <w:rFonts w:ascii="Times New Roman" w:hAnsi="Times New Roman" w:cs="Times New Roman"/>
          <w:sz w:val="24"/>
          <w:szCs w:val="24"/>
        </w:rPr>
      </w:pPr>
    </w:p>
    <w:p w14:paraId="632AC640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Noto Sans Symbols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B4441"/>
    <w:multiLevelType w:val="multilevel"/>
    <w:tmpl w:val="098B4441"/>
    <w:lvl w:ilvl="0" w:tentative="0">
      <w:start w:val="1"/>
      <w:numFmt w:val="bullet"/>
      <w:lvlText w:val="●"/>
      <w:lvlJc w:val="left"/>
      <w:pPr>
        <w:ind w:left="1428" w:hanging="360"/>
      </w:pPr>
      <w:rPr>
        <w:rFonts w:ascii="Noto Sans Symbols" w:hAnsi="Noto Sans Symbols" w:eastAsia="Times New Roman"/>
        <w:vertAlign w:val="baseline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ascii="Courier New" w:hAnsi="Courier New" w:eastAsia="Times New Roman"/>
        <w:vertAlign w:val="baseline"/>
      </w:rPr>
    </w:lvl>
    <w:lvl w:ilvl="2" w:tentative="0">
      <w:start w:val="1"/>
      <w:numFmt w:val="bullet"/>
      <w:lvlText w:val="▪"/>
      <w:lvlJc w:val="left"/>
      <w:pPr>
        <w:ind w:left="2868" w:hanging="360"/>
      </w:pPr>
      <w:rPr>
        <w:rFonts w:ascii="Noto Sans Symbols" w:hAnsi="Noto Sans Symbols" w:eastAsia="Times New Roman"/>
        <w:vertAlign w:val="baseline"/>
      </w:rPr>
    </w:lvl>
    <w:lvl w:ilvl="3" w:tentative="0">
      <w:start w:val="1"/>
      <w:numFmt w:val="bullet"/>
      <w:lvlText w:val="●"/>
      <w:lvlJc w:val="left"/>
      <w:pPr>
        <w:ind w:left="3588" w:hanging="360"/>
      </w:pPr>
      <w:rPr>
        <w:rFonts w:ascii="Noto Sans Symbols" w:hAnsi="Noto Sans Symbols" w:eastAsia="Times New Roman"/>
        <w:vertAlign w:val="baseline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ascii="Courier New" w:hAnsi="Courier New" w:eastAsia="Times New Roman"/>
        <w:vertAlign w:val="baseline"/>
      </w:rPr>
    </w:lvl>
    <w:lvl w:ilvl="5" w:tentative="0">
      <w:start w:val="1"/>
      <w:numFmt w:val="bullet"/>
      <w:lvlText w:val="▪"/>
      <w:lvlJc w:val="left"/>
      <w:pPr>
        <w:ind w:left="5028" w:hanging="360"/>
      </w:pPr>
      <w:rPr>
        <w:rFonts w:ascii="Noto Sans Symbols" w:hAnsi="Noto Sans Symbols" w:eastAsia="Times New Roman"/>
        <w:vertAlign w:val="baseline"/>
      </w:rPr>
    </w:lvl>
    <w:lvl w:ilvl="6" w:tentative="0">
      <w:start w:val="1"/>
      <w:numFmt w:val="bullet"/>
      <w:lvlText w:val="●"/>
      <w:lvlJc w:val="left"/>
      <w:pPr>
        <w:ind w:left="5748" w:hanging="360"/>
      </w:pPr>
      <w:rPr>
        <w:rFonts w:ascii="Noto Sans Symbols" w:hAnsi="Noto Sans Symbols" w:eastAsia="Times New Roman"/>
        <w:vertAlign w:val="baseline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ascii="Courier New" w:hAnsi="Courier New" w:eastAsia="Times New Roman"/>
        <w:vertAlign w:val="baseline"/>
      </w:rPr>
    </w:lvl>
    <w:lvl w:ilvl="8" w:tentative="0">
      <w:start w:val="1"/>
      <w:numFmt w:val="bullet"/>
      <w:lvlText w:val="▪"/>
      <w:lvlJc w:val="left"/>
      <w:pPr>
        <w:ind w:left="7188" w:hanging="360"/>
      </w:pPr>
      <w:rPr>
        <w:rFonts w:ascii="Noto Sans Symbols" w:hAnsi="Noto Sans Symbols" w:eastAsia="Times New Roman"/>
        <w:vertAlign w:val="baseline"/>
      </w:rPr>
    </w:lvl>
  </w:abstractNum>
  <w:abstractNum w:abstractNumId="1">
    <w:nsid w:val="57C603AA"/>
    <w:multiLevelType w:val="multilevel"/>
    <w:tmpl w:val="57C603AA"/>
    <w:lvl w:ilvl="0" w:tentative="0">
      <w:start w:val="1"/>
      <w:numFmt w:val="bullet"/>
      <w:lvlText w:val="●"/>
      <w:lvlJc w:val="left"/>
      <w:pPr>
        <w:ind w:left="1428" w:hanging="360"/>
      </w:pPr>
      <w:rPr>
        <w:rFonts w:ascii="Noto Sans Symbols" w:hAnsi="Noto Sans Symbols" w:eastAsia="Times New Roman"/>
        <w:vertAlign w:val="baseline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ascii="Courier New" w:hAnsi="Courier New" w:eastAsia="Times New Roman"/>
        <w:vertAlign w:val="baseline"/>
      </w:rPr>
    </w:lvl>
    <w:lvl w:ilvl="2" w:tentative="0">
      <w:start w:val="1"/>
      <w:numFmt w:val="bullet"/>
      <w:lvlText w:val="▪"/>
      <w:lvlJc w:val="left"/>
      <w:pPr>
        <w:ind w:left="2868" w:hanging="360"/>
      </w:pPr>
      <w:rPr>
        <w:rFonts w:ascii="Noto Sans Symbols" w:hAnsi="Noto Sans Symbols" w:eastAsia="Times New Roman"/>
        <w:vertAlign w:val="baseline"/>
      </w:rPr>
    </w:lvl>
    <w:lvl w:ilvl="3" w:tentative="0">
      <w:start w:val="1"/>
      <w:numFmt w:val="bullet"/>
      <w:lvlText w:val="●"/>
      <w:lvlJc w:val="left"/>
      <w:pPr>
        <w:ind w:left="3588" w:hanging="360"/>
      </w:pPr>
      <w:rPr>
        <w:rFonts w:ascii="Noto Sans Symbols" w:hAnsi="Noto Sans Symbols" w:eastAsia="Times New Roman"/>
        <w:vertAlign w:val="baseline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ascii="Courier New" w:hAnsi="Courier New" w:eastAsia="Times New Roman"/>
        <w:vertAlign w:val="baseline"/>
      </w:rPr>
    </w:lvl>
    <w:lvl w:ilvl="5" w:tentative="0">
      <w:start w:val="1"/>
      <w:numFmt w:val="bullet"/>
      <w:lvlText w:val="▪"/>
      <w:lvlJc w:val="left"/>
      <w:pPr>
        <w:ind w:left="5028" w:hanging="360"/>
      </w:pPr>
      <w:rPr>
        <w:rFonts w:ascii="Noto Sans Symbols" w:hAnsi="Noto Sans Symbols" w:eastAsia="Times New Roman"/>
        <w:vertAlign w:val="baseline"/>
      </w:rPr>
    </w:lvl>
    <w:lvl w:ilvl="6" w:tentative="0">
      <w:start w:val="1"/>
      <w:numFmt w:val="bullet"/>
      <w:lvlText w:val="●"/>
      <w:lvlJc w:val="left"/>
      <w:pPr>
        <w:ind w:left="5748" w:hanging="360"/>
      </w:pPr>
      <w:rPr>
        <w:rFonts w:ascii="Noto Sans Symbols" w:hAnsi="Noto Sans Symbols" w:eastAsia="Times New Roman"/>
        <w:vertAlign w:val="baseline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ascii="Courier New" w:hAnsi="Courier New" w:eastAsia="Times New Roman"/>
        <w:vertAlign w:val="baseline"/>
      </w:rPr>
    </w:lvl>
    <w:lvl w:ilvl="8" w:tentative="0">
      <w:start w:val="1"/>
      <w:numFmt w:val="bullet"/>
      <w:lvlText w:val="▪"/>
      <w:lvlJc w:val="left"/>
      <w:pPr>
        <w:ind w:left="7188" w:hanging="360"/>
      </w:pPr>
      <w:rPr>
        <w:rFonts w:ascii="Noto Sans Symbols" w:hAnsi="Noto Sans Symbols" w:eastAsia="Times New Roman"/>
        <w:vertAlign w:val="baseline"/>
      </w:rPr>
    </w:lvl>
  </w:abstractNum>
  <w:abstractNum w:abstractNumId="2">
    <w:nsid w:val="5DFE2EC1"/>
    <w:multiLevelType w:val="multilevel"/>
    <w:tmpl w:val="5DFE2EC1"/>
    <w:lvl w:ilvl="0" w:tentative="0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D1"/>
    <w:rsid w:val="00192B00"/>
    <w:rsid w:val="002114B6"/>
    <w:rsid w:val="002E0EE1"/>
    <w:rsid w:val="006E6ED1"/>
    <w:rsid w:val="00700C92"/>
    <w:rsid w:val="00D75FBC"/>
    <w:rsid w:val="00F75380"/>
    <w:rsid w:val="360E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12"/>
    <w:qFormat/>
    <w:uiPriority w:val="0"/>
    <w:pPr>
      <w:widowControl w:val="0"/>
      <w:autoSpaceDE w:val="0"/>
      <w:autoSpaceDN w:val="0"/>
      <w:spacing w:before="66" w:after="0" w:line="240" w:lineRule="auto"/>
      <w:ind w:left="118"/>
      <w:outlineLvl w:val="1"/>
    </w:pPr>
    <w:rPr>
      <w:rFonts w:ascii="Trebuchet MS" w:hAnsi="Trebuchet MS" w:eastAsia="Times New Roman" w:cs="Trebuchet MS"/>
      <w:sz w:val="24"/>
      <w:szCs w:val="24"/>
      <w:lang w:val="en-US"/>
    </w:rPr>
  </w:style>
  <w:style w:type="paragraph" w:styleId="3">
    <w:name w:val="heading 3"/>
    <w:basedOn w:val="1"/>
    <w:next w:val="1"/>
    <w:link w:val="13"/>
    <w:qFormat/>
    <w:uiPriority w:val="0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val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Body Text"/>
    <w:basedOn w:val="1"/>
    <w:link w:val="14"/>
    <w:uiPriority w:val="0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hAnsi="Bookman Old Style" w:eastAsia="Times New Roman" w:cs="Bookman Old Style"/>
      <w:sz w:val="20"/>
      <w:szCs w:val="20"/>
      <w:lang w:val="en-US"/>
    </w:rPr>
  </w:style>
  <w:style w:type="paragraph" w:styleId="10">
    <w:name w:val="Normal (Web)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5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Заголовок 2 Знак"/>
    <w:basedOn w:val="4"/>
    <w:link w:val="2"/>
    <w:qFormat/>
    <w:uiPriority w:val="0"/>
    <w:rPr>
      <w:rFonts w:ascii="Trebuchet MS" w:hAnsi="Trebuchet MS" w:eastAsia="Times New Roman" w:cs="Trebuchet MS"/>
      <w:sz w:val="24"/>
      <w:szCs w:val="24"/>
      <w:lang w:val="en-US"/>
    </w:rPr>
  </w:style>
  <w:style w:type="character" w:customStyle="1" w:styleId="13">
    <w:name w:val="Заголовок 3 Знак"/>
    <w:basedOn w:val="4"/>
    <w:link w:val="3"/>
    <w:qFormat/>
    <w:uiPriority w:val="0"/>
    <w:rPr>
      <w:rFonts w:ascii="Arial" w:hAnsi="Arial" w:eastAsia="Times New Roman" w:cs="Arial"/>
      <w:b/>
      <w:bCs/>
      <w:sz w:val="26"/>
      <w:szCs w:val="26"/>
      <w:lang w:val="en-US"/>
    </w:rPr>
  </w:style>
  <w:style w:type="character" w:customStyle="1" w:styleId="14">
    <w:name w:val="Основной текст Знак"/>
    <w:basedOn w:val="4"/>
    <w:link w:val="9"/>
    <w:qFormat/>
    <w:uiPriority w:val="0"/>
    <w:rPr>
      <w:rFonts w:ascii="Bookman Old Style" w:hAnsi="Bookman Old Style" w:eastAsia="Times New Roman" w:cs="Bookman Old Style"/>
      <w:sz w:val="20"/>
      <w:szCs w:val="20"/>
      <w:lang w:val="en-US"/>
    </w:rPr>
  </w:style>
  <w:style w:type="paragraph" w:customStyle="1" w:styleId="15">
    <w:name w:val="Абзац списка1"/>
    <w:basedOn w:val="1"/>
    <w:uiPriority w:val="0"/>
    <w:pPr>
      <w:widowControl w:val="0"/>
      <w:autoSpaceDE w:val="0"/>
      <w:autoSpaceDN w:val="0"/>
      <w:spacing w:after="0" w:line="240" w:lineRule="auto"/>
      <w:ind w:left="383" w:right="155" w:hanging="142"/>
      <w:jc w:val="both"/>
    </w:pPr>
    <w:rPr>
      <w:rFonts w:ascii="Bookman Old Style" w:hAnsi="Bookman Old Style" w:eastAsia="Times New Roman" w:cs="Bookman Old Style"/>
      <w:lang w:val="en-US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ru-RU" w:eastAsia="ru-RU" w:bidi="ar-SA"/>
    </w:rPr>
  </w:style>
  <w:style w:type="paragraph" w:customStyle="1" w:styleId="17">
    <w:name w:val="Содержимое таблицы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Bookman Old Style" w:hAnsi="Bookman Old Style" w:eastAsia="Times New Roman" w:cs="Bookman Old Style"/>
      <w:lang w:val="en-US" w:eastAsia="ar-SA"/>
    </w:rPr>
  </w:style>
  <w:style w:type="character" w:customStyle="1" w:styleId="18">
    <w:name w:val="Текст выноски Знак"/>
    <w:basedOn w:val="4"/>
    <w:link w:val="8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3557</Words>
  <Characters>20277</Characters>
  <Lines>168</Lines>
  <Paragraphs>47</Paragraphs>
  <TotalTime>1</TotalTime>
  <ScaleCrop>false</ScaleCrop>
  <LinksUpToDate>false</LinksUpToDate>
  <CharactersWithSpaces>23787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2022-10-18T09:26:00Z</dcterms:created>
  <dc:creator>НСОШ4</dc:creator>
  <cp:lastModifiedBy>НСОШ4</cp:lastModifiedBy>
  <cp:lastPrinted>2022-11-17T05:32:00Z</cp:lastPrinted>
  <dcterms:modified xsi:type="dcterms:W3CDTF">2025-09-24T09:38:35Z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44F1FB18EAC64EE38D94178B0E2CC5CE_12</vt:lpwstr>
  </property>
</Properties>
</file>